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宋体" w:hAnsi="宋体" w:cs="宋体"/>
          <w:b/>
          <w:bCs/>
          <w:kern w:val="0"/>
          <w:sz w:val="36"/>
          <w:szCs w:val="36"/>
        </w:rPr>
      </w:pPr>
      <w:r>
        <w:rPr>
          <w:rFonts w:hint="eastAsia" w:ascii="宋体" w:hAnsi="宋体" w:cs="宋体"/>
          <w:b/>
          <w:bCs/>
          <w:kern w:val="0"/>
          <w:sz w:val="36"/>
          <w:szCs w:val="36"/>
        </w:rPr>
        <w:t>“华中数控杯”工业机器人装调及智能制造应用赛项规程</w:t>
      </w:r>
    </w:p>
    <w:p>
      <w:pPr>
        <w:tabs>
          <w:tab w:val="left" w:pos="1260"/>
        </w:tabs>
        <w:spacing w:line="500" w:lineRule="exact"/>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一、竞赛名称</w:t>
      </w:r>
    </w:p>
    <w:p>
      <w:pPr>
        <w:pStyle w:val="2"/>
        <w:keepNext w:val="0"/>
        <w:keepLines w:val="0"/>
        <w:spacing w:before="0" w:after="0" w:line="500" w:lineRule="exact"/>
        <w:ind w:firstLine="600" w:firstLineChars="200"/>
        <w:rPr>
          <w:rFonts w:hint="eastAsia" w:ascii="仿宋_GB2312" w:hAnsi="仿宋_GB2312" w:eastAsia="仿宋_GB2312" w:cs="仿宋_GB2312"/>
          <w:b w:val="0"/>
          <w:sz w:val="30"/>
          <w:szCs w:val="30"/>
        </w:rPr>
      </w:pPr>
      <w:r>
        <w:rPr>
          <w:rFonts w:hint="eastAsia" w:ascii="仿宋_GB2312" w:hAnsi="仿宋_GB2312" w:eastAsia="仿宋_GB2312" w:cs="仿宋_GB2312"/>
          <w:b w:val="0"/>
          <w:sz w:val="30"/>
          <w:szCs w:val="30"/>
        </w:rPr>
        <w:t>工业机器人装调及智能制造应用</w:t>
      </w:r>
    </w:p>
    <w:p>
      <w:pPr>
        <w:tabs>
          <w:tab w:val="left" w:pos="1260"/>
        </w:tabs>
        <w:spacing w:line="500" w:lineRule="exact"/>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二、参赛对象</w:t>
      </w:r>
    </w:p>
    <w:p>
      <w:pPr>
        <w:widowControl/>
        <w:spacing w:line="540" w:lineRule="exact"/>
        <w:ind w:firstLine="600" w:firstLineChars="200"/>
        <w:jc w:val="left"/>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（一）高职组：高等职业院校（含高职、高专、成人高校</w:t>
      </w:r>
      <w:r>
        <w:rPr>
          <w:rFonts w:hint="eastAsia" w:ascii="仿宋_GB2312" w:hAnsi="仿宋_GB2312" w:eastAsia="仿宋_GB2312" w:cs="仿宋_GB2312"/>
          <w:kern w:val="0"/>
          <w:sz w:val="30"/>
          <w:szCs w:val="30"/>
          <w:lang w:eastAsia="zh-CN"/>
        </w:rPr>
        <w:t>、技师学院</w:t>
      </w:r>
      <w:r>
        <w:rPr>
          <w:rFonts w:hint="eastAsia" w:ascii="仿宋_GB2312" w:hAnsi="仿宋_GB2312" w:eastAsia="仿宋_GB2312" w:cs="仿宋_GB2312"/>
          <w:kern w:val="0"/>
          <w:sz w:val="30"/>
          <w:szCs w:val="30"/>
        </w:rPr>
        <w:t>）在籍学生。</w:t>
      </w:r>
    </w:p>
    <w:p>
      <w:pPr>
        <w:widowControl/>
        <w:spacing w:line="54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（二）中职组：中等职业学校（含中专、职高、职教中心</w:t>
      </w:r>
      <w:r>
        <w:rPr>
          <w:rFonts w:hint="eastAsia" w:ascii="仿宋_GB2312" w:hAnsi="仿宋_GB2312" w:eastAsia="仿宋_GB2312" w:cs="仿宋_GB2312"/>
          <w:kern w:val="0"/>
          <w:sz w:val="30"/>
          <w:szCs w:val="30"/>
          <w:lang w:eastAsia="zh-CN"/>
        </w:rPr>
        <w:t>、技工学校</w:t>
      </w:r>
      <w:r>
        <w:rPr>
          <w:rFonts w:hint="eastAsia" w:ascii="仿宋_GB2312" w:hAnsi="仿宋_GB2312" w:eastAsia="仿宋_GB2312" w:cs="仿宋_GB2312"/>
          <w:kern w:val="0"/>
          <w:sz w:val="30"/>
          <w:szCs w:val="30"/>
        </w:rPr>
        <w:t>）在籍学生</w:t>
      </w:r>
    </w:p>
    <w:p>
      <w:pPr>
        <w:tabs>
          <w:tab w:val="left" w:pos="1260"/>
        </w:tabs>
        <w:spacing w:line="500" w:lineRule="exact"/>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三、比赛方式与内容</w:t>
      </w:r>
    </w:p>
    <w:p>
      <w:pPr>
        <w:tabs>
          <w:tab w:val="left" w:pos="1260"/>
        </w:tabs>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（一）比赛方式</w:t>
      </w:r>
    </w:p>
    <w:p>
      <w:pPr>
        <w:spacing w:line="500" w:lineRule="exact"/>
        <w:ind w:firstLine="600" w:firstLineChars="2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团体赛，每支参赛队由3名选手组成，不得跨校组队，每队可选派一名指导教师</w:t>
      </w:r>
      <w:r>
        <w:rPr>
          <w:rFonts w:hint="eastAsia" w:ascii="仿宋_GB2312" w:hAnsi="仿宋_GB2312" w:eastAsia="仿宋_GB2312" w:cs="仿宋_GB2312"/>
          <w:bCs/>
          <w:sz w:val="30"/>
          <w:szCs w:val="30"/>
          <w:lang w:eastAsia="zh-CN"/>
        </w:rPr>
        <w:t>，每校限报</w:t>
      </w:r>
      <w:r>
        <w:rPr>
          <w:rFonts w:hint="eastAsia" w:ascii="仿宋_GB2312" w:hAnsi="仿宋_GB2312" w:eastAsia="仿宋_GB2312" w:cs="仿宋_GB2312"/>
          <w:bCs/>
          <w:sz w:val="30"/>
          <w:szCs w:val="30"/>
          <w:lang w:val="en-US" w:eastAsia="zh-CN"/>
        </w:rPr>
        <w:t>2支队伍。</w:t>
      </w:r>
    </w:p>
    <w:p>
      <w:pPr>
        <w:tabs>
          <w:tab w:val="left" w:pos="1260"/>
        </w:tabs>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（二）比赛内容</w:t>
      </w:r>
    </w:p>
    <w:p>
      <w:pPr>
        <w:pStyle w:val="6"/>
        <w:widowControl/>
        <w:spacing w:line="500" w:lineRule="exact"/>
        <w:ind w:firstLine="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本赛项以工业机器人智能工作站系统作为竞赛平台，参赛选手需在4个小时内完成以下任务：</w:t>
      </w:r>
    </w:p>
    <w:p>
      <w:pPr>
        <w:pStyle w:val="6"/>
        <w:widowControl/>
        <w:spacing w:line="500" w:lineRule="exact"/>
        <w:ind w:firstLine="6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工业机器人应用工作站系统中的配套设备机械、电气、气路系统的装调、机器人故障发现和排除、工业机器人重复定位精度测试、机器人搬运应用的编程调试等基本工作任务，并通过对系统的人机界面开发及控制程序设计等完成工业机器人智能工作站系统的联机运行和特定制造流程等综合任务。</w:t>
      </w:r>
    </w:p>
    <w:p>
      <w:pPr>
        <w:tabs>
          <w:tab w:val="left" w:pos="1260"/>
        </w:tabs>
        <w:spacing w:line="500" w:lineRule="exact"/>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四、比赛技术平台</w:t>
      </w:r>
    </w:p>
    <w:p>
      <w:pPr>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（一）竞赛设备</w:t>
      </w:r>
    </w:p>
    <w:p>
      <w:pPr>
        <w:shd w:val="clear" w:color="auto" w:fill="FFFFFF"/>
        <w:adjustRightInd w:val="0"/>
        <w:snapToGrid w:val="0"/>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华中数控生产的工业机器人拆装平台，其中配置的拆装机器人为HSR-JR612型机器人。</w:t>
      </w:r>
    </w:p>
    <w:p>
      <w:pPr>
        <w:numPr>
          <w:ilvl w:val="0"/>
          <w:numId w:val="1"/>
        </w:numPr>
        <w:shd w:val="clear" w:color="auto" w:fill="FFFFFF"/>
        <w:snapToGrid w:val="0"/>
        <w:spacing w:before="62" w:beforeLines="20"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设备主要配置：</w:t>
      </w:r>
    </w:p>
    <w:p>
      <w:pPr>
        <w:shd w:val="clear" w:color="auto" w:fill="FFFFFF"/>
        <w:adjustRightInd w:val="0"/>
        <w:snapToGrid w:val="0"/>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1.基本配置：</w:t>
      </w:r>
    </w:p>
    <w:tbl>
      <w:tblPr>
        <w:tblStyle w:val="5"/>
        <w:tblW w:w="96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848"/>
        <w:gridCol w:w="756"/>
        <w:gridCol w:w="1030"/>
        <w:gridCol w:w="5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序号</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产品名称</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数量</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单位</w:t>
            </w:r>
          </w:p>
        </w:tc>
        <w:tc>
          <w:tcPr>
            <w:tcW w:w="5207" w:type="dxa"/>
            <w:vAlign w:val="center"/>
          </w:tcPr>
          <w:p>
            <w:pPr>
              <w:autoSpaceDE w:val="0"/>
              <w:autoSpaceDN w:val="0"/>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拆装工作站</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套</w:t>
            </w:r>
          </w:p>
        </w:tc>
        <w:tc>
          <w:tcPr>
            <w:tcW w:w="5207"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含工业机器人（HSR-JR612）、机器人电柜及机器人示教器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2</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机器人夹具</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套</w:t>
            </w:r>
          </w:p>
        </w:tc>
        <w:tc>
          <w:tcPr>
            <w:tcW w:w="5207"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3</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棒料上料架</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台</w:t>
            </w:r>
          </w:p>
        </w:tc>
        <w:tc>
          <w:tcPr>
            <w:tcW w:w="5207"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4</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棒料下料架</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台</w:t>
            </w:r>
          </w:p>
        </w:tc>
        <w:tc>
          <w:tcPr>
            <w:tcW w:w="5207"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带自动门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5</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气动系统附件</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套</w:t>
            </w:r>
          </w:p>
        </w:tc>
        <w:tc>
          <w:tcPr>
            <w:tcW w:w="5207"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电磁阀、过滤减压阀件及快换接头等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4"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6</w:t>
            </w:r>
          </w:p>
        </w:tc>
        <w:tc>
          <w:tcPr>
            <w:tcW w:w="184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安全防护系统</w:t>
            </w:r>
          </w:p>
        </w:tc>
        <w:tc>
          <w:tcPr>
            <w:tcW w:w="756"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030"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套</w:t>
            </w:r>
          </w:p>
        </w:tc>
        <w:tc>
          <w:tcPr>
            <w:tcW w:w="5207"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防护网及配套电气元件</w:t>
            </w:r>
          </w:p>
        </w:tc>
      </w:tr>
    </w:tbl>
    <w:p>
      <w:pPr>
        <w:shd w:val="clear" w:color="auto" w:fill="FFFFFF"/>
        <w:adjustRightInd w:val="0"/>
        <w:snapToGrid w:val="0"/>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2.耗材及配套工具：</w:t>
      </w:r>
    </w:p>
    <w:tbl>
      <w:tblPr>
        <w:tblStyle w:val="5"/>
        <w:tblW w:w="105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477"/>
        <w:gridCol w:w="7482"/>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1"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序号</w:t>
            </w:r>
          </w:p>
        </w:tc>
        <w:tc>
          <w:tcPr>
            <w:tcW w:w="1477"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名称</w:t>
            </w:r>
          </w:p>
        </w:tc>
        <w:tc>
          <w:tcPr>
            <w:tcW w:w="7482"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主要组成器件</w:t>
            </w:r>
          </w:p>
        </w:tc>
        <w:tc>
          <w:tcPr>
            <w:tcW w:w="798"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1"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p>
        </w:tc>
        <w:tc>
          <w:tcPr>
            <w:tcW w:w="1477"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耗材</w:t>
            </w:r>
          </w:p>
        </w:tc>
        <w:tc>
          <w:tcPr>
            <w:tcW w:w="7482" w:type="dxa"/>
            <w:vAlign w:val="top"/>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保险珠芯、0.50mm</w:t>
            </w:r>
            <w:r>
              <w:rPr>
                <w:rFonts w:hint="eastAsia" w:ascii="仿宋_GB2312" w:hAnsi="Calibri" w:eastAsia="仿宋_GB2312" w:cs="仿宋_GB2312"/>
                <w:sz w:val="24"/>
                <w:szCs w:val="24"/>
                <w:vertAlign w:val="superscript"/>
              </w:rPr>
              <w:t>2</w:t>
            </w:r>
            <w:r>
              <w:rPr>
                <w:rFonts w:hint="eastAsia" w:ascii="仿宋_GB2312" w:hAnsi="Calibri" w:eastAsia="仿宋_GB2312" w:cs="仿宋_GB2312"/>
                <w:sz w:val="24"/>
                <w:szCs w:val="24"/>
              </w:rPr>
              <w:t>导线、1.5mm</w:t>
            </w:r>
            <w:r>
              <w:rPr>
                <w:rFonts w:hint="eastAsia" w:ascii="仿宋_GB2312" w:hAnsi="Calibri" w:eastAsia="仿宋_GB2312" w:cs="仿宋_GB2312"/>
                <w:sz w:val="24"/>
                <w:szCs w:val="24"/>
                <w:vertAlign w:val="superscript"/>
              </w:rPr>
              <w:t>2</w:t>
            </w:r>
            <w:r>
              <w:rPr>
                <w:rFonts w:hint="eastAsia" w:ascii="仿宋_GB2312" w:hAnsi="Calibri" w:eastAsia="仿宋_GB2312" w:cs="仿宋_GB2312"/>
                <w:sz w:val="24"/>
                <w:szCs w:val="24"/>
              </w:rPr>
              <w:t>导线、号码管、接线端子、扎带、绝缘胶布、生胶带等</w:t>
            </w:r>
          </w:p>
        </w:tc>
        <w:tc>
          <w:tcPr>
            <w:tcW w:w="798" w:type="dxa"/>
            <w:vAlign w:val="center"/>
          </w:tcPr>
          <w:p>
            <w:pPr>
              <w:tabs>
                <w:tab w:val="left" w:pos="236"/>
                <w:tab w:val="center" w:pos="468"/>
              </w:tabs>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1"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2</w:t>
            </w:r>
          </w:p>
        </w:tc>
        <w:tc>
          <w:tcPr>
            <w:tcW w:w="1477"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配套工具</w:t>
            </w:r>
          </w:p>
        </w:tc>
        <w:tc>
          <w:tcPr>
            <w:tcW w:w="7482" w:type="dxa"/>
            <w:vAlign w:val="top"/>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包括小一字螺丝刀、小十字螺丝刀、长柄螺丝刀、钟表螺丝刀、剪刀、剥线钳、尖嘴钳、斜口钳、电烙铁、试电笔、焊锡丝、镊子、活动扳手、内外六角扳手、便携式万用表及书写工具等</w:t>
            </w:r>
          </w:p>
        </w:tc>
        <w:tc>
          <w:tcPr>
            <w:tcW w:w="798" w:type="dxa"/>
            <w:vAlign w:val="center"/>
          </w:tcPr>
          <w:p>
            <w:pPr>
              <w:tabs>
                <w:tab w:val="left" w:pos="236"/>
                <w:tab w:val="center" w:pos="468"/>
              </w:tabs>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91"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3</w:t>
            </w:r>
          </w:p>
        </w:tc>
        <w:tc>
          <w:tcPr>
            <w:tcW w:w="1477" w:type="dxa"/>
            <w:vAlign w:val="center"/>
          </w:tcPr>
          <w:p>
            <w:pPr>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测试设备</w:t>
            </w:r>
          </w:p>
        </w:tc>
        <w:tc>
          <w:tcPr>
            <w:tcW w:w="7482" w:type="dxa"/>
            <w:vAlign w:val="center"/>
          </w:tcPr>
          <w:p>
            <w:pPr>
              <w:autoSpaceDE w:val="0"/>
              <w:autoSpaceDN w:val="0"/>
              <w:adjustRightInd w:val="0"/>
              <w:snapToGrid w:val="0"/>
              <w:spacing w:line="240" w:lineRule="atLeast"/>
              <w:rPr>
                <w:rFonts w:hint="eastAsia" w:ascii="仿宋_GB2312" w:hAnsi="Calibri" w:eastAsia="仿宋_GB2312" w:cs="仿宋_GB2312"/>
                <w:sz w:val="24"/>
                <w:szCs w:val="24"/>
              </w:rPr>
            </w:pPr>
            <w:r>
              <w:rPr>
                <w:rFonts w:hint="eastAsia" w:ascii="仿宋_GB2312" w:hAnsi="Calibri" w:eastAsia="仿宋_GB2312" w:cs="仿宋_GB2312"/>
                <w:sz w:val="24"/>
                <w:szCs w:val="24"/>
              </w:rPr>
              <w:t>百分表</w:t>
            </w:r>
          </w:p>
        </w:tc>
        <w:tc>
          <w:tcPr>
            <w:tcW w:w="798" w:type="dxa"/>
            <w:vAlign w:val="center"/>
          </w:tcPr>
          <w:p>
            <w:pPr>
              <w:tabs>
                <w:tab w:val="left" w:pos="236"/>
                <w:tab w:val="center" w:pos="468"/>
              </w:tabs>
              <w:autoSpaceDE w:val="0"/>
              <w:autoSpaceDN w:val="0"/>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6套</w:t>
            </w:r>
          </w:p>
        </w:tc>
      </w:tr>
    </w:tbl>
    <w:p>
      <w:pPr>
        <w:tabs>
          <w:tab w:val="left" w:pos="1260"/>
        </w:tabs>
        <w:spacing w:line="500" w:lineRule="exact"/>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五、评分标准与评奖办法</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（一）评分标准</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评分以“公平、公正、公开”为原则，采用过程评价与结果评价相结合、能力评价与职业素养评价相结合的方式。为了保证评判“公平、公正、公开”，采取以下措施：</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1.考核内容、样题和评分标准赛前一个月公开；</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2.技术人员将认真调试各比赛用工业机器人基础实训工作站，保证考核条件一致；</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3.裁判队伍赛前封闭培训，统一操作过程的评判标准，掌握分析报告的评判标准，并对裁判的评判进行分析对比，对不合理的评判进行纠正，以保证裁判标准一致；</w:t>
      </w:r>
    </w:p>
    <w:p>
      <w:pPr>
        <w:tabs>
          <w:tab w:val="left" w:pos="1260"/>
        </w:tabs>
        <w:spacing w:line="500" w:lineRule="exact"/>
        <w:ind w:firstLine="600" w:firstLineChars="200"/>
        <w:rPr>
          <w:rFonts w:hint="eastAsia" w:ascii="仿宋_GB2312" w:hAnsi="仿宋_GB2312" w:eastAsia="仿宋_GB2312" w:cs="仿宋_GB2312"/>
          <w:sz w:val="30"/>
          <w:szCs w:val="30"/>
        </w:rPr>
      </w:pPr>
      <w:r>
        <w:rPr>
          <w:rFonts w:hint="eastAsia" w:ascii="仿宋_GB2312" w:hAnsi="宋体" w:eastAsia="仿宋_GB2312"/>
          <w:sz w:val="30"/>
          <w:szCs w:val="30"/>
        </w:rPr>
        <w:t>4.加强试题保密工作。</w:t>
      </w:r>
    </w:p>
    <w:p>
      <w:pPr>
        <w:tabs>
          <w:tab w:val="left" w:pos="1260"/>
        </w:tabs>
        <w:spacing w:line="500" w:lineRule="exact"/>
        <w:ind w:firstLine="600" w:firstLineChars="200"/>
        <w:rPr>
          <w:rFonts w:ascii="仿宋_GB2312" w:hAnsi="仿宋_GB2312" w:eastAsia="仿宋_GB2312" w:cs="仿宋_GB2312"/>
          <w:sz w:val="30"/>
          <w:szCs w:val="30"/>
        </w:rPr>
      </w:pPr>
      <w:r>
        <w:rPr>
          <w:rFonts w:hint="eastAsia" w:ascii="仿宋_GB2312" w:hAnsi="宋体" w:eastAsia="仿宋_GB2312"/>
          <w:sz w:val="30"/>
          <w:szCs w:val="30"/>
        </w:rPr>
        <w:t>（二）评分细则</w:t>
      </w:r>
    </w:p>
    <w:p>
      <w:pPr>
        <w:adjustRightInd w:val="0"/>
        <w:snapToGrid w:val="0"/>
        <w:spacing w:line="590" w:lineRule="exact"/>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rPr>
        <w:t>竞赛项目满分为100分</w:t>
      </w:r>
      <w:r>
        <w:rPr>
          <w:rFonts w:hint="eastAsia" w:ascii="仿宋_GB2312" w:hAnsi="宋体" w:eastAsia="仿宋_GB2312"/>
          <w:sz w:val="30"/>
          <w:szCs w:val="30"/>
          <w:lang w:eastAsia="zh-CN"/>
        </w:rPr>
        <w:t>，具体评分细则如下：</w:t>
      </w:r>
    </w:p>
    <w:tbl>
      <w:tblPr>
        <w:tblStyle w:val="4"/>
        <w:tblW w:w="10295" w:type="dxa"/>
        <w:jc w:val="center"/>
        <w:tblInd w:w="-15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9"/>
        <w:gridCol w:w="708"/>
        <w:gridCol w:w="4950"/>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tcBorders>
              <w:bottom w:val="single" w:color="auto" w:sz="4" w:space="0"/>
            </w:tcBorders>
            <w:vAlign w:val="center"/>
          </w:tcPr>
          <w:p>
            <w:pPr>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一级指标</w:t>
            </w:r>
          </w:p>
        </w:tc>
        <w:tc>
          <w:tcPr>
            <w:tcW w:w="708" w:type="dxa"/>
            <w:vAlign w:val="center"/>
          </w:tcPr>
          <w:p>
            <w:pPr>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比例</w:t>
            </w:r>
          </w:p>
        </w:tc>
        <w:tc>
          <w:tcPr>
            <w:tcW w:w="4950" w:type="dxa"/>
            <w:vAlign w:val="center"/>
          </w:tcPr>
          <w:p>
            <w:pPr>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二级指标</w:t>
            </w:r>
          </w:p>
        </w:tc>
        <w:tc>
          <w:tcPr>
            <w:tcW w:w="708" w:type="dxa"/>
            <w:vAlign w:val="center"/>
          </w:tcPr>
          <w:p>
            <w:pPr>
              <w:adjustRightInd w:val="0"/>
              <w:snapToGrid w:val="0"/>
              <w:spacing w:line="240" w:lineRule="atLeast"/>
              <w:jc w:val="center"/>
              <w:rPr>
                <w:rFonts w:hint="eastAsia" w:ascii="仿宋_GB2312" w:hAnsi="Calibri" w:eastAsia="仿宋_GB2312" w:cs="仿宋_GB2312"/>
                <w:b/>
                <w:sz w:val="24"/>
                <w:szCs w:val="24"/>
              </w:rPr>
            </w:pPr>
            <w:r>
              <w:rPr>
                <w:rFonts w:hint="eastAsia" w:ascii="仿宋_GB2312" w:hAnsi="Calibri" w:eastAsia="仿宋_GB2312" w:cs="仿宋_GB2312"/>
                <w:b/>
                <w:sz w:val="24"/>
                <w:szCs w:val="24"/>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机器人关键部件装配（5轴或6轴）</w:t>
            </w:r>
          </w:p>
        </w:tc>
        <w:tc>
          <w:tcPr>
            <w:tcW w:w="708"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2</w:t>
            </w:r>
            <w:r>
              <w:rPr>
                <w:rFonts w:hint="eastAsia" w:ascii="仿宋_GB2312" w:hAnsi="Calibri" w:eastAsia="仿宋_GB2312" w:cs="仿宋_GB2312"/>
                <w:sz w:val="24"/>
                <w:szCs w:val="24"/>
                <w:lang w:val="en-US" w:eastAsia="zh-CN"/>
              </w:rPr>
              <w:t>0</w:t>
            </w:r>
            <w:r>
              <w:rPr>
                <w:rFonts w:hint="eastAsia" w:ascii="仿宋_GB2312" w:hAnsi="Calibri" w:eastAsia="仿宋_GB2312" w:cs="仿宋_GB2312"/>
                <w:sz w:val="24"/>
                <w:szCs w:val="24"/>
              </w:rPr>
              <w:t>%</w:t>
            </w: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装配工艺符合规范</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w:t>
            </w:r>
            <w:r>
              <w:rPr>
                <w:rFonts w:hint="eastAsia" w:ascii="仿宋_GB2312" w:hAnsi="Calibri" w:eastAsia="仿宋_GB2312" w:cs="仿宋_GB2312"/>
                <w:sz w:val="24"/>
                <w:szCs w:val="24"/>
                <w:lang w:val="en-US" w:eastAsia="zh-CN"/>
              </w:rPr>
              <w:t>0</w:t>
            </w:r>
            <w:r>
              <w:rPr>
                <w:rFonts w:hint="eastAsia" w:ascii="仿宋_GB2312" w:hAnsi="Calibri"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708"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装配时间的最优、最短；</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机器人电控故障判断和故障排除</w:t>
            </w:r>
          </w:p>
        </w:tc>
        <w:tc>
          <w:tcPr>
            <w:tcW w:w="708"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30%</w:t>
            </w: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对电气控制系统设定故障进行判断</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708"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对电气控制系统设定故障进行排除</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机器人重复定位精度的测试</w:t>
            </w:r>
          </w:p>
        </w:tc>
        <w:tc>
          <w:tcPr>
            <w:tcW w:w="708"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15%</w:t>
            </w: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安装和调试好机器人定位精度测设备</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tcBorders>
              <w:bottom w:val="single" w:color="auto" w:sz="4" w:space="0"/>
            </w:tcBorders>
            <w:vAlign w:val="center"/>
          </w:tcPr>
          <w:p>
            <w:pPr>
              <w:adjustRightInd w:val="0"/>
              <w:snapToGrid w:val="0"/>
              <w:spacing w:line="240" w:lineRule="atLeast"/>
              <w:jc w:val="center"/>
              <w:rPr>
                <w:rFonts w:hint="eastAsia" w:ascii="仿宋_GB2312" w:hAnsi="Calibri" w:eastAsia="仿宋_GB2312" w:cs="Arial"/>
                <w:b/>
                <w:sz w:val="24"/>
                <w:szCs w:val="24"/>
              </w:rPr>
            </w:pPr>
          </w:p>
        </w:tc>
        <w:tc>
          <w:tcPr>
            <w:tcW w:w="708"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进行机器人重复定位精度测试并记录</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工业应用</w:t>
            </w:r>
            <w:r>
              <w:rPr>
                <w:rFonts w:hint="eastAsia" w:ascii="仿宋_GB2312" w:hAnsi="Calibri" w:eastAsia="仿宋_GB2312" w:cs="Arial"/>
                <w:sz w:val="24"/>
                <w:szCs w:val="24"/>
              </w:rPr>
              <w:t>（棒料搬运）</w:t>
            </w:r>
          </w:p>
        </w:tc>
        <w:tc>
          <w:tcPr>
            <w:tcW w:w="708"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30%</w:t>
            </w: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夹具气路和电气控制线路安装</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tcBorders>
              <w:bottom w:val="single" w:color="auto" w:sz="4" w:space="0"/>
            </w:tcBorders>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708"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Arial"/>
                <w:sz w:val="24"/>
                <w:szCs w:val="24"/>
              </w:rPr>
              <w:t>设备调试</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708" w:type="dxa"/>
            <w:vMerge w:val="continue"/>
            <w:vAlign w:val="center"/>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实现功能运用</w:t>
            </w:r>
          </w:p>
        </w:tc>
        <w:tc>
          <w:tcPr>
            <w:tcW w:w="708" w:type="dxa"/>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restart"/>
            <w:vAlign w:val="center"/>
          </w:tcPr>
          <w:p>
            <w:pPr>
              <w:adjustRightInd w:val="0"/>
              <w:snapToGrid w:val="0"/>
              <w:spacing w:line="240" w:lineRule="atLeast"/>
              <w:jc w:val="both"/>
              <w:rPr>
                <w:rFonts w:hint="eastAsia" w:ascii="仿宋_GB2312" w:hAnsi="Calibri" w:eastAsia="仿宋_GB2312" w:cs="仿宋_GB2312"/>
                <w:sz w:val="24"/>
                <w:szCs w:val="24"/>
                <w:lang w:val="en-US" w:eastAsia="zh-CN"/>
              </w:rPr>
            </w:pPr>
            <w:r>
              <w:rPr>
                <w:rFonts w:hint="eastAsia" w:ascii="仿宋_GB2312" w:hAnsi="Calibri" w:eastAsia="仿宋_GB2312" w:cs="仿宋_GB2312"/>
                <w:sz w:val="24"/>
                <w:szCs w:val="24"/>
                <w:lang w:val="en-US" w:eastAsia="zh-CN"/>
              </w:rPr>
              <w:t>职业素养</w:t>
            </w:r>
          </w:p>
        </w:tc>
        <w:tc>
          <w:tcPr>
            <w:tcW w:w="708" w:type="dxa"/>
            <w:vMerge w:val="restart"/>
            <w:vAlign w:val="center"/>
          </w:tcPr>
          <w:p>
            <w:pPr>
              <w:adjustRightInd w:val="0"/>
              <w:snapToGrid w:val="0"/>
              <w:spacing w:line="240" w:lineRule="atLeast"/>
              <w:jc w:val="center"/>
              <w:rPr>
                <w:rFonts w:hint="eastAsia" w:ascii="仿宋_GB2312" w:hAnsi="Calibri" w:eastAsia="仿宋_GB2312" w:cs="仿宋_GB2312"/>
                <w:sz w:val="24"/>
                <w:szCs w:val="24"/>
              </w:rPr>
            </w:pPr>
            <w:r>
              <w:rPr>
                <w:rFonts w:hint="eastAsia" w:ascii="仿宋_GB2312" w:hAnsi="Calibri" w:eastAsia="仿宋_GB2312" w:cs="仿宋_GB2312"/>
                <w:sz w:val="24"/>
                <w:szCs w:val="24"/>
                <w:lang w:val="en-US" w:eastAsia="zh-CN"/>
              </w:rPr>
              <w:t>5</w:t>
            </w:r>
            <w:r>
              <w:rPr>
                <w:rFonts w:hint="eastAsia" w:ascii="仿宋_GB2312" w:hAnsi="Calibri" w:eastAsia="仿宋_GB2312" w:cs="仿宋_GB2312"/>
                <w:sz w:val="24"/>
                <w:szCs w:val="24"/>
              </w:rPr>
              <w:t>%</w:t>
            </w:r>
          </w:p>
        </w:tc>
        <w:tc>
          <w:tcPr>
            <w:tcW w:w="4950" w:type="dxa"/>
            <w:vAlign w:val="top"/>
          </w:tcPr>
          <w:p>
            <w:pPr>
              <w:shd w:val="clear" w:color="auto" w:fill="FFFFFF"/>
              <w:snapToGrid w:val="0"/>
              <w:rPr>
                <w:rFonts w:hint="eastAsia" w:ascii="仿宋_GB2312" w:hAnsi="Calibri"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工具、量具摆放</w:t>
            </w:r>
          </w:p>
        </w:tc>
        <w:tc>
          <w:tcPr>
            <w:tcW w:w="708" w:type="dxa"/>
            <w:vAlign w:val="top"/>
          </w:tcPr>
          <w:p>
            <w:pPr>
              <w:shd w:val="clear" w:color="auto" w:fill="FFFFFF"/>
              <w:snapToGrid w:val="0"/>
              <w:jc w:val="center"/>
              <w:rPr>
                <w:rFonts w:hint="eastAsia" w:ascii="仿宋_GB2312" w:hAnsi="Calibri" w:eastAsia="仿宋_GB2312" w:cs="仿宋_GB2312"/>
                <w:sz w:val="24"/>
                <w:szCs w:val="24"/>
              </w:rPr>
            </w:pPr>
            <w:r>
              <w:rPr>
                <w:rFonts w:ascii="仿宋_GB2312" w:hAnsi="仿宋_GB2312" w:eastAsia="仿宋_GB2312" w:cs="仿宋_GB2312"/>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vAlign w:val="top"/>
          </w:tcPr>
          <w:p>
            <w:pPr>
              <w:adjustRightInd w:val="0"/>
              <w:snapToGrid w:val="0"/>
              <w:spacing w:line="240" w:lineRule="atLeast"/>
              <w:jc w:val="both"/>
              <w:rPr>
                <w:rFonts w:hint="eastAsia" w:ascii="仿宋_GB2312" w:hAnsi="Calibri" w:eastAsia="仿宋_GB2312" w:cs="仿宋_GB2312"/>
                <w:sz w:val="24"/>
                <w:szCs w:val="24"/>
                <w:lang w:val="en-US" w:eastAsia="zh-CN"/>
              </w:rPr>
            </w:pPr>
          </w:p>
        </w:tc>
        <w:tc>
          <w:tcPr>
            <w:tcW w:w="708" w:type="dxa"/>
            <w:vMerge w:val="continue"/>
            <w:vAlign w:val="top"/>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top"/>
          </w:tcPr>
          <w:p>
            <w:pPr>
              <w:shd w:val="clear" w:color="auto" w:fill="FFFFFF"/>
              <w:snapToGrid w:val="0"/>
              <w:rPr>
                <w:rFonts w:hint="eastAsia" w:ascii="仿宋_GB2312" w:hAnsi="Calibri"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安全防护</w:t>
            </w:r>
          </w:p>
        </w:tc>
        <w:tc>
          <w:tcPr>
            <w:tcW w:w="708" w:type="dxa"/>
            <w:vAlign w:val="top"/>
          </w:tcPr>
          <w:p>
            <w:pPr>
              <w:shd w:val="clear" w:color="auto" w:fill="FFFFFF"/>
              <w:snapToGrid w:val="0"/>
              <w:jc w:val="center"/>
              <w:rPr>
                <w:rFonts w:hint="eastAsia" w:ascii="仿宋_GB2312" w:hAnsi="Calibri" w:eastAsia="仿宋_GB2312" w:cs="仿宋_GB2312"/>
                <w:sz w:val="24"/>
                <w:szCs w:val="24"/>
              </w:rPr>
            </w:pPr>
            <w:r>
              <w:rPr>
                <w:rFonts w:ascii="仿宋_GB2312" w:hAnsi="仿宋_GB2312" w:eastAsia="仿宋_GB2312" w:cs="仿宋_GB2312"/>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jc w:val="center"/>
        </w:trPr>
        <w:tc>
          <w:tcPr>
            <w:tcW w:w="3929" w:type="dxa"/>
            <w:vMerge w:val="continue"/>
            <w:vAlign w:val="top"/>
          </w:tcPr>
          <w:p>
            <w:pPr>
              <w:adjustRightInd w:val="0"/>
              <w:snapToGrid w:val="0"/>
              <w:spacing w:line="240" w:lineRule="atLeast"/>
              <w:jc w:val="both"/>
              <w:rPr>
                <w:rFonts w:hint="eastAsia" w:ascii="仿宋_GB2312" w:hAnsi="Calibri" w:eastAsia="仿宋_GB2312" w:cs="仿宋_GB2312"/>
                <w:sz w:val="24"/>
                <w:szCs w:val="24"/>
                <w:lang w:val="en-US" w:eastAsia="zh-CN"/>
              </w:rPr>
            </w:pPr>
          </w:p>
        </w:tc>
        <w:tc>
          <w:tcPr>
            <w:tcW w:w="708" w:type="dxa"/>
            <w:vMerge w:val="continue"/>
            <w:vAlign w:val="top"/>
          </w:tcPr>
          <w:p>
            <w:pPr>
              <w:adjustRightInd w:val="0"/>
              <w:snapToGrid w:val="0"/>
              <w:spacing w:line="240" w:lineRule="atLeast"/>
              <w:jc w:val="center"/>
              <w:rPr>
                <w:rFonts w:hint="eastAsia" w:ascii="仿宋_GB2312" w:hAnsi="Calibri" w:eastAsia="仿宋_GB2312" w:cs="仿宋_GB2312"/>
                <w:sz w:val="24"/>
                <w:szCs w:val="24"/>
              </w:rPr>
            </w:pPr>
          </w:p>
        </w:tc>
        <w:tc>
          <w:tcPr>
            <w:tcW w:w="4950" w:type="dxa"/>
            <w:vAlign w:val="top"/>
          </w:tcPr>
          <w:p>
            <w:pPr>
              <w:shd w:val="clear" w:color="auto" w:fill="FFFFFF"/>
              <w:snapToGrid w:val="0"/>
              <w:rPr>
                <w:rFonts w:hint="eastAsia" w:ascii="仿宋_GB2312" w:hAnsi="Calibri"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现场安全、文明生产和操作规范</w:t>
            </w:r>
          </w:p>
        </w:tc>
        <w:tc>
          <w:tcPr>
            <w:tcW w:w="708" w:type="dxa"/>
            <w:vAlign w:val="top"/>
          </w:tcPr>
          <w:p>
            <w:pPr>
              <w:shd w:val="clear" w:color="auto" w:fill="FFFFFF"/>
              <w:snapToGrid w:val="0"/>
              <w:jc w:val="center"/>
              <w:rPr>
                <w:rFonts w:hint="eastAsia" w:ascii="仿宋_GB2312" w:hAnsi="Calibri" w:eastAsia="仿宋_GB2312" w:cs="仿宋_GB2312"/>
                <w:sz w:val="24"/>
                <w:szCs w:val="24"/>
              </w:rPr>
            </w:pPr>
            <w:r>
              <w:rPr>
                <w:rFonts w:ascii="仿宋_GB2312" w:hAnsi="仿宋_GB2312" w:eastAsia="仿宋_GB2312" w:cs="仿宋_GB2312"/>
                <w:sz w:val="24"/>
                <w:szCs w:val="24"/>
              </w:rPr>
              <w:t>2%</w:t>
            </w:r>
          </w:p>
        </w:tc>
      </w:tr>
    </w:tbl>
    <w:p>
      <w:pPr>
        <w:adjustRightInd w:val="0"/>
        <w:snapToGrid w:val="0"/>
        <w:spacing w:line="590" w:lineRule="exact"/>
        <w:ind w:firstLine="600" w:firstLineChars="200"/>
        <w:rPr>
          <w:rFonts w:hint="eastAsia" w:ascii="仿宋_GB2312" w:hAnsi="宋体" w:eastAsia="仿宋_GB2312"/>
          <w:sz w:val="30"/>
          <w:szCs w:val="30"/>
          <w:lang w:eastAsia="zh-CN"/>
        </w:rPr>
      </w:pPr>
      <w:r>
        <w:rPr>
          <w:rFonts w:hint="eastAsia" w:ascii="仿宋_GB2312" w:hAnsi="宋体" w:eastAsia="仿宋_GB2312"/>
          <w:sz w:val="30"/>
          <w:szCs w:val="30"/>
          <w:lang w:eastAsia="zh-CN"/>
        </w:rPr>
        <w:t>注意：</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lang w:val="en-US" w:eastAsia="zh-CN"/>
        </w:rPr>
        <w:t>1</w:t>
      </w:r>
      <w:r>
        <w:rPr>
          <w:rFonts w:hint="eastAsia" w:ascii="仿宋_GB2312" w:hAnsi="宋体" w:eastAsia="仿宋_GB2312"/>
          <w:sz w:val="30"/>
          <w:szCs w:val="30"/>
        </w:rPr>
        <w:t>.在完成工作任务后，出现电路短路故障扣15分；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lang w:val="en-US" w:eastAsia="zh-CN"/>
        </w:rPr>
        <w:t>2</w:t>
      </w:r>
      <w:r>
        <w:rPr>
          <w:rFonts w:hint="eastAsia" w:ascii="仿宋_GB2312" w:hAnsi="宋体" w:eastAsia="仿宋_GB2312"/>
          <w:sz w:val="30"/>
          <w:szCs w:val="30"/>
        </w:rPr>
        <w:t>.在完成工作任务的过程中，因操作不当导致人身或设备安全事故，扣10-20分，情况严重者取消比赛资格；</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lang w:val="en-US" w:eastAsia="zh-CN"/>
        </w:rPr>
        <w:t>3</w:t>
      </w:r>
      <w:r>
        <w:rPr>
          <w:rFonts w:hint="eastAsia" w:ascii="仿宋_GB2312" w:hAnsi="宋体" w:eastAsia="仿宋_GB2312"/>
          <w:sz w:val="30"/>
          <w:szCs w:val="30"/>
        </w:rPr>
        <w:t>.损坏赛场提供的设备，污染赛场环境等不符合职业规范的行为，视情节扣5-10分</w:t>
      </w:r>
      <w:r>
        <w:rPr>
          <w:rFonts w:hint="eastAsia" w:ascii="仿宋_GB2312" w:hAnsi="宋体" w:eastAsia="仿宋_GB2312"/>
          <w:sz w:val="30"/>
          <w:szCs w:val="30"/>
          <w:lang w:eastAsia="zh-CN"/>
        </w:rPr>
        <w:t>。</w:t>
      </w:r>
    </w:p>
    <w:p>
      <w:pPr>
        <w:tabs>
          <w:tab w:val="left" w:pos="1260"/>
        </w:tabs>
        <w:spacing w:line="5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（三）评奖办法</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赛项设团体</w:t>
      </w:r>
      <w:r>
        <w:rPr>
          <w:rFonts w:ascii="仿宋_GB2312" w:hAnsi="宋体" w:eastAsia="仿宋_GB2312"/>
          <w:sz w:val="30"/>
          <w:szCs w:val="30"/>
        </w:rPr>
        <w:t>一、二、三等奖。</w:t>
      </w:r>
      <w:r>
        <w:rPr>
          <w:rFonts w:hint="eastAsia" w:ascii="仿宋_GB2312" w:hAnsi="宋体" w:eastAsia="仿宋_GB2312"/>
          <w:sz w:val="30"/>
          <w:szCs w:val="30"/>
        </w:rPr>
        <w:t>按照竞赛总成绩由大到小排序，</w:t>
      </w:r>
      <w:r>
        <w:rPr>
          <w:rFonts w:ascii="仿宋_GB2312" w:hAnsi="宋体" w:eastAsia="仿宋_GB2312"/>
          <w:sz w:val="30"/>
          <w:szCs w:val="30"/>
        </w:rPr>
        <w:t>以实际参赛队总数为基数，一、二、三等奖获奖比例分别为10%、2</w:t>
      </w:r>
      <w:r>
        <w:rPr>
          <w:rFonts w:hint="eastAsia" w:ascii="仿宋_GB2312" w:hAnsi="宋体" w:eastAsia="仿宋_GB2312"/>
          <w:sz w:val="30"/>
          <w:szCs w:val="30"/>
        </w:rPr>
        <w:t>5</w:t>
      </w:r>
      <w:r>
        <w:rPr>
          <w:rFonts w:ascii="仿宋_GB2312" w:hAnsi="宋体" w:eastAsia="仿宋_GB2312"/>
          <w:sz w:val="30"/>
          <w:szCs w:val="30"/>
        </w:rPr>
        <w:t>%、3</w:t>
      </w:r>
      <w:r>
        <w:rPr>
          <w:rFonts w:hint="eastAsia" w:ascii="仿宋_GB2312" w:hAnsi="宋体" w:eastAsia="仿宋_GB2312"/>
          <w:sz w:val="30"/>
          <w:szCs w:val="30"/>
        </w:rPr>
        <w:t>5</w:t>
      </w:r>
      <w:r>
        <w:rPr>
          <w:rFonts w:ascii="仿宋_GB2312" w:hAnsi="宋体" w:eastAsia="仿宋_GB2312"/>
          <w:sz w:val="30"/>
          <w:szCs w:val="30"/>
        </w:rPr>
        <w:t>%（小数点后四舍五入）。</w:t>
      </w:r>
      <w:r>
        <w:rPr>
          <w:rFonts w:hint="eastAsia" w:ascii="仿宋_GB2312" w:hAnsi="宋体" w:eastAsia="仿宋_GB2312"/>
          <w:sz w:val="30"/>
          <w:szCs w:val="30"/>
        </w:rPr>
        <w:t>当总分相同时，</w:t>
      </w:r>
      <w:r>
        <w:rPr>
          <w:rFonts w:hint="eastAsia" w:ascii="仿宋_GB2312" w:hAnsi="宋体" w:eastAsia="仿宋_GB2312"/>
          <w:sz w:val="30"/>
          <w:szCs w:val="30"/>
          <w:lang w:eastAsia="zh-CN"/>
        </w:rPr>
        <w:t>取并列名次。</w:t>
      </w:r>
    </w:p>
    <w:p>
      <w:pPr>
        <w:tabs>
          <w:tab w:val="left" w:pos="1260"/>
        </w:tabs>
        <w:spacing w:line="500" w:lineRule="exact"/>
        <w:ind w:firstLine="602" w:firstLineChars="200"/>
        <w:rPr>
          <w:rFonts w:hint="eastAsia" w:ascii="仿宋_GB2312" w:hAnsi="仿宋_GB2312" w:eastAsia="仿宋_GB2312" w:cs="仿宋_GB2312"/>
          <w:b/>
          <w:sz w:val="30"/>
          <w:szCs w:val="30"/>
        </w:rPr>
      </w:pPr>
      <w:r>
        <w:rPr>
          <w:rFonts w:hint="eastAsia" w:ascii="仿宋_GB2312" w:hAnsi="仿宋_GB2312" w:eastAsia="仿宋_GB2312" w:cs="仿宋_GB2312"/>
          <w:b/>
          <w:sz w:val="30"/>
          <w:szCs w:val="30"/>
        </w:rPr>
        <w:t>六、竞赛规则</w:t>
      </w:r>
    </w:p>
    <w:p>
      <w:pPr>
        <w:adjustRightInd w:val="0"/>
        <w:snapToGrid w:val="0"/>
        <w:spacing w:line="590" w:lineRule="exact"/>
        <w:ind w:firstLine="600" w:firstLineChars="200"/>
        <w:rPr>
          <w:rFonts w:ascii="仿宋_GB2312" w:hAnsi="宋体" w:eastAsia="仿宋_GB2312"/>
          <w:sz w:val="30"/>
          <w:szCs w:val="30"/>
        </w:rPr>
      </w:pPr>
      <w:r>
        <w:rPr>
          <w:rFonts w:hint="eastAsia" w:ascii="仿宋_GB2312" w:hAnsi="宋体" w:eastAsia="仿宋_GB2312"/>
          <w:sz w:val="30"/>
          <w:szCs w:val="30"/>
        </w:rPr>
        <w:t>（一）熟悉场地</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1.执委会安排在选手报到结束后各参赛队统一有序地熟悉场地，熟悉场地时限定在观摩区活动，不允许进入比赛区。</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2.熟悉场地严格遵守大赛各种制度，严禁拥挤，喧哗，以免发生意外事故。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（二）文明参赛要求</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1.竞赛所用的设备由大赛执委会统一提供，各参赛队可以根据需要选择使用现场提供的设备、仪器、工具；</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2.参赛选手在比赛开始前30分钟前到达指定地点检录，接受工作人员对选手身份、资格和有关证件的检查，竞赛计时开始后，选手未到，视为自动放弃；</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3.比赛用仪器设备、赛位由抽签确定，不得擅自变更、调整；</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4.选手在竞赛过程中不得擅自离开赛场，如有特殊情况，须经裁判人员同意。选手休息、饮水、上洗手间等，不安排专门用时，统一计在竞赛时间内，竞赛计时工具，以赛场设置的时钟为准；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5.竞赛期间，选手不得将手机等通信工具带入赛场，非同组选手之间不得以任何方式传递信息，如传递纸条，用手势表达信息，用暗语交换信息等；</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6.所有人员在赛场内不得喧哗，不得有影响其他选手完成工作任务的行为；</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7.爱护赛场提供的器材，不得移动赛场内台桌、设备和其它物品的定置，不得故意损坏设备和仪器；比赛过程中，参赛选手须严格遵守相关操作规程，确保设备及人身安全，并接受裁判员的监督和警示；</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8.完成竞赛任务期间，不得与其他选手讨论，不得旁窥其他选手的操作；</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9.遇事应先举手示意，并与裁判人员协商，按裁判人员的意见办理；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10.参赛选手须在赛位的计算机上规定的文件夹内存储比赛文档；</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11.比赛过程中，选手须严格遵守安全操作规程，并接受裁判员的监督和警示，以确保人身及设备安全。选手因个人误操作造成人身安全事故和设备故障时，裁判长有权中止该队比赛；如非选手个人原因出现设备故障而无法比赛，由裁判长视具体情况做出裁决(调换到备份赛位或调整至最后一场次参加比赛)；如裁判长确定设备故障可由技术支持人员排除故障后继续比赛，将给参赛队补足所耽误的比赛时间；</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12.参赛队若要提前结束竞赛，应举手向裁判员示意，比赛结束时间由裁判员记录，参赛队结束比赛后不得再进行任何操作；</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13.选手须按照程序提交比赛结果，配合裁判做好赛场情况记录，与裁判一起签字确认，裁判要求签名时不得拒绝；</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14.完成赛项任务及交接事宜或竞赛时间结束，应到指定地点，待工作人员宣布竞赛结束，方可离开；</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15.选手在比赛过程中遇到程序编写等内容不能自行完成，可以提出弃权，由技术保障人员帮助完成，参赛队弃权部分不得分；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16.不乱摆放工具，不乱丢杂物，完成工作任务后清洁赛位，清点工具，线头、废弃物品及工具，不得遗留在赛位上；</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17.使用文明用语，尊重裁判和其他选手，不得辱骂裁判和赛场工作人员，不得打架斗殴；</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18.任何人不得以任何方式暗示、指导、帮助参赛选手，对造成后果的，视情节轻重酌情扣除参赛选手成绩；</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19.比赛过程中，除参加当场次比赛的选手、执行裁判员、现场工作人员和经批准的人员外，其他人员一律不得进入比赛现场；比赛结束后，参赛人员应根据指令及时退出比赛现场；对不听劝阻、无理取闹者追究责任，并通报批评；</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20.裁判长在比赛结束前</w:t>
      </w:r>
      <w:r>
        <w:rPr>
          <w:rFonts w:hint="eastAsia" w:ascii="仿宋_GB2312" w:hAnsi="宋体" w:eastAsia="仿宋_GB2312"/>
          <w:sz w:val="30"/>
          <w:szCs w:val="30"/>
          <w:lang w:val="en-US" w:eastAsia="zh-CN"/>
        </w:rPr>
        <w:t>15分钟</w:t>
      </w:r>
      <w:r>
        <w:rPr>
          <w:rFonts w:hint="eastAsia" w:ascii="仿宋_GB2312" w:hAnsi="宋体" w:eastAsia="仿宋_GB2312"/>
          <w:sz w:val="30"/>
          <w:szCs w:val="30"/>
        </w:rPr>
        <w:t>提醒选手，裁判长发布比赛结束指令后所有参赛队立即停止操作，按要求清理赛位，不得以任何理由拖延竞赛时间；</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21.参赛选手不得将竞赛任务书、图纸、草稿纸和工具等与比赛有关的物品带离赛场，选手必须经现场裁判员检查许可后方能离开赛场；</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22.参赛队需按照竞赛要求提交竞赛结果，裁判员与参赛选手一起签字确认。</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（三）成绩评定及公布</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1.组织分工</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在赛项执委会的领导下成立由检录组、裁判组和仲裁组组成的成绩管理组织机构。具体要求与分工如下：</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（1）检录工作人员负责对参赛队伍（选手）进行点名登记、身份核对等工作。检录工作由赛项承办院校工作人员承担</w:t>
      </w:r>
      <w:r>
        <w:rPr>
          <w:rFonts w:hint="eastAsia" w:ascii="仿宋_GB2312" w:hAnsi="宋体" w:eastAsia="仿宋_GB2312"/>
          <w:sz w:val="30"/>
          <w:szCs w:val="30"/>
          <w:lang w:eastAsia="zh-CN"/>
        </w:rPr>
        <w:t>。</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（2）裁判组实行“裁判长负责制”，设裁判长1名，全面负责赛项的裁判管理工作并处理比赛中出现的争议问题，以及足够数量的裁判员</w:t>
      </w:r>
      <w:r>
        <w:rPr>
          <w:rFonts w:hint="eastAsia" w:ascii="仿宋_GB2312" w:hAnsi="宋体" w:eastAsia="仿宋_GB2312"/>
          <w:sz w:val="30"/>
          <w:szCs w:val="30"/>
          <w:lang w:eastAsia="zh-CN"/>
        </w:rPr>
        <w:t>。</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（3）裁判员根据比赛需要分为加密裁判、现场裁判和评分裁判。加密裁判：负责组织参赛队伍（选手）抽签，对参赛队信息、抽签代码等进行加密，加密裁判不参与评分工作。</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现场裁判：按规定做好赛场记录，维护赛场纪律，评定参赛队的现场得分；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评分裁判：负责对参赛队伍（选手）的比赛任务完成、比赛表现按赛项评分标准进行评定。</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（4）仲裁组负责接受由参赛队领队提出的对裁判结果的申诉，组织复议并及时反馈复议结果。</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2.成绩评分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（1）现场评分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现场裁判依据现场打分表，对参赛队的操作规范、现场表现等进行评分。评分结果由参赛选手、裁判员、裁判长签字确认。</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（2）过程评分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根据参赛选手在分步操作过程中的规范性、合理性以及完成质量等，评分裁判依据评分标准按步给分。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（3）抽检复核</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为保障成绩统计的准确性，执委会对赛项总成绩进行抽检复核；错误率超过5%的，则认定为非小概率事件，裁判组需对所有成绩进行复核。</w:t>
      </w:r>
    </w:p>
    <w:p>
      <w:pPr>
        <w:adjustRightInd w:val="0"/>
        <w:snapToGrid w:val="0"/>
        <w:spacing w:line="590" w:lineRule="exact"/>
        <w:ind w:firstLine="602" w:firstLineChars="200"/>
        <w:rPr>
          <w:rFonts w:hint="eastAsia" w:ascii="仿宋_GB2312" w:hAnsi="宋体" w:eastAsia="仿宋_GB2312"/>
          <w:b/>
          <w:sz w:val="30"/>
          <w:szCs w:val="30"/>
        </w:rPr>
      </w:pPr>
      <w:r>
        <w:rPr>
          <w:rFonts w:hint="eastAsia" w:ascii="仿宋_GB2312" w:hAnsi="宋体" w:eastAsia="仿宋_GB2312"/>
          <w:b/>
          <w:sz w:val="30"/>
          <w:szCs w:val="30"/>
        </w:rPr>
        <w:t>七、申诉与仲裁</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（一）申诉</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 xml:space="preserve">1.参赛队对不符合比赛规定的设备、工具、软件，有失公正的评判、奖励，以及对工作人员的违规行为等均可提出申诉。 </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申诉应在比赛结束后2小时内提出，超过时效将不予受理。申诉时，应按照规定的程序由参赛队向相应赛项仲裁工作组递交书面申诉报告。报告应对申诉事件的现象、发生的时间、涉及到的人员、申诉依据与理由等进行充分、实事求是的叙述。事实依据不充分、仅凭主观臆断的申诉不予受理。申诉报告须有申诉的参赛选手。</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3.赛项仲裁工作组收到申诉报告后，应根据申诉事由进行审查，6小时内书面通知申诉方，告知申诉处理结果。如受理申诉，要通知申诉方举办听证会的时间和地点；如不受理申诉，要说明理由。</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4.申诉人不得无故拒不接受处理结果，不允许采取过激行为刁难、攻击工作人员，否则视为放弃申诉。申诉人不满意赛项仲裁工作组处理结果的，可向比赛执委会仲裁委员会提出复议申请。</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（二）仲裁</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赛项设仲裁工作组和仲裁委员会。赛项仲裁工作组接受由代表队提出的对裁判结果的申诉。赛项仲裁工作组在接到申诉后的2小时内组织复议，并及时反馈复议结果。仲裁委员会裁定为最终裁定。</w:t>
      </w:r>
    </w:p>
    <w:p>
      <w:pPr>
        <w:adjustRightInd w:val="0"/>
        <w:snapToGrid w:val="0"/>
        <w:spacing w:line="590" w:lineRule="exact"/>
        <w:ind w:firstLine="602" w:firstLineChars="200"/>
        <w:rPr>
          <w:rFonts w:hint="eastAsia" w:ascii="仿宋_GB2312" w:hAnsi="宋体" w:eastAsia="仿宋_GB2312"/>
          <w:b/>
          <w:sz w:val="30"/>
          <w:szCs w:val="30"/>
        </w:rPr>
      </w:pPr>
      <w:r>
        <w:rPr>
          <w:rFonts w:hint="eastAsia" w:ascii="仿宋_GB2312" w:hAnsi="宋体" w:eastAsia="仿宋_GB2312"/>
          <w:b/>
          <w:sz w:val="30"/>
          <w:szCs w:val="30"/>
        </w:rPr>
        <w:t>八、赛项安全</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（一）赛场所有人员（赛场管理与组织人员、裁判员、参赛员以及观摩人员）不得在竞赛现场内外吸烟，不听劝阻者给予通报批评或清退比赛现场，造成严重后果的将依法处理。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（二）未经允许不得使用和移动竞赛场内的任何设施设备（包括消防器材等），工具使用后放回原处。</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（三）选手在竞赛中必须遵守赛场的各项规章制度和操作规程，安全、合理的使用各种设施设备和工具，出现严重违章操作加工设备的，裁判视情节轻重进行批评和终止比赛。</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（四）选手参加实际操作竞赛前，应由参赛校进行安全教育。竞赛中如发现问题应及时解决，无法解决的问题应及时向裁判员报告，裁判员视情况予以判定，并协调处理。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（五）参赛选手不得触动非竞赛用仪器设备，对竞赛仪器设备造成损坏，由当事人单位承担赔偿责任（视情节而定），并通报批评；参赛选手若出现恶意破坏仪器设备等情节严重者将依法处理。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六）参赛选手入场应身穿赛事比赛指定服装；工装裤自备，穿绝缘鞋，佩戴安全帽，并购买意外伤害险。赛事指定服装和安全帽由支持企业提供。工装裤和绝缘鞋不允许出现院校名称，以及其他与院校有关标识，具体由裁判决定是否符合竞赛使用，如违反规定视为违规处理。</w:t>
      </w:r>
    </w:p>
    <w:p>
      <w:pPr>
        <w:adjustRightInd w:val="0"/>
        <w:snapToGrid w:val="0"/>
        <w:spacing w:line="590" w:lineRule="exact"/>
        <w:ind w:firstLine="602" w:firstLineChars="200"/>
        <w:rPr>
          <w:rFonts w:hint="eastAsia" w:ascii="仿宋_GB2312" w:hAnsi="宋体" w:eastAsia="仿宋_GB2312"/>
          <w:b/>
          <w:sz w:val="30"/>
          <w:szCs w:val="30"/>
        </w:rPr>
      </w:pPr>
      <w:r>
        <w:rPr>
          <w:rFonts w:hint="eastAsia" w:ascii="仿宋_GB2312" w:hAnsi="宋体" w:eastAsia="仿宋_GB2312"/>
          <w:b/>
          <w:sz w:val="30"/>
          <w:szCs w:val="30"/>
        </w:rPr>
        <w:t>九、大赛违规处理规定</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（一）发现参赛选手不符合报名规定条件的、冒名顶替或弄虚作假的，报经大赛组委会核实批准后，一律取消该选手参赛资格，追究有关领导责任并通报批评。</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（二）参赛选手有下列情节之一的，其相应项成绩计为零分：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1.比赛期间违规透漏选手或其单位任何信息者；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2.在比赛现场内与他人（队）交头接耳，或有偷看、暗示等作弊行为者；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3.比赛期间使用通讯工具与他人联系者；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4.裁判根据大赛要求宣布比赛结束后，仍强行作答或操作者；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5.不服从裁判员的裁决，扰乱竞赛秩序，影响比赛进程，情节恶劣者；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6.其他违反大赛规则不听劝告者。</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三）参赛选手如造成竞赛使用仪器设备损坏，视情节由当事人单位承担赔偿责任；参赛选手不得触动非竞赛用仪器设备，如造成仪器设备损坏，由当事人单位承担赔偿责任并通报批评；对恶意破坏仪器设备等情节严重者，送交司法机关处理。</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（四）各代表队非参赛人员若违反大赛纪律，将视情节轻重给予警告或通报批评。</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（五）对违反大赛纪律的裁判员、工作人员，由各项目裁判长报经组委会核实批准后，视情节轻重给予警告或取消其裁判资格并通报所在单位。</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（六）非大赛工作人员和参赛选手一律不得超越赛场指定的安全范围，不听劝阻造成后果者，追求其责任，并对其所在单位进行通报批评。</w:t>
      </w:r>
    </w:p>
    <w:p>
      <w:pPr>
        <w:adjustRightInd w:val="0"/>
        <w:snapToGrid w:val="0"/>
        <w:spacing w:line="59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七）各参赛队（选手）须按照大赛规定和赛题要求递交竞赛成果，禁止在竞赛成果上做任何与竞赛无关的标记；除大赛规定选手填写的信息外，不能出现透露选手身份的任何信息，否则视为作弊，相应赛项的成绩为零。</w:t>
      </w:r>
    </w:p>
    <w:p>
      <w:pPr>
        <w:spacing w:line="500" w:lineRule="exact"/>
        <w:ind w:firstLine="600" w:firstLineChars="200"/>
        <w:jc w:val="left"/>
        <w:rPr>
          <w:rFonts w:hint="eastAsia" w:ascii="黑体" w:hAnsi="黑体" w:eastAsia="黑体" w:cs="黑体"/>
          <w:kern w:val="0"/>
          <w:sz w:val="32"/>
          <w:szCs w:val="32"/>
        </w:rPr>
      </w:pPr>
      <w:r>
        <w:rPr>
          <w:rFonts w:hint="eastAsia" w:ascii="仿宋_GB2312" w:hAnsi="宋体" w:eastAsia="仿宋_GB2312"/>
          <w:sz w:val="30"/>
          <w:szCs w:val="30"/>
        </w:rPr>
        <w:t>（八）参赛队（选手）参加实践操作比赛前，应穿戴好防护用品并进行安全检查，如发现问题应及时解决，无法解决的问题应及时向裁判员报告；裁判员视情况予以判定，并协调处理。未执行有关安全规程而造成不良后果，由责任方承担相应责任；对选手未发现的安全隐患或违章操作行为，裁判员应及时指出并予以纠正，酌情扣除选手实践操作成绩并记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黑体">
    <w:panose1 w:val="02010600030101010101"/>
    <w:charset w:val="86"/>
    <w:family w:val="modern"/>
    <w:pitch w:val="default"/>
    <w:sig w:usb0="800002BF" w:usb1="38CF7CFA" w:usb2="00000016" w:usb3="00000000" w:csb0="00040001"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DC0BC3"/>
    <w:rsid w:val="5FCB62E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i</dc:creator>
  <cp:lastModifiedBy>i</cp:lastModifiedBy>
  <dcterms:modified xsi:type="dcterms:W3CDTF">2016-06-12T02:16:21Z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